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54FD7" w:rsidRDefault="00F92268" w:rsidP="00850792">
      <w:pPr>
        <w:pStyle w:val="BodyText"/>
        <w:rPr>
          <w:sz w:val="6"/>
          <w:szCs w:val="6"/>
        </w:rPr>
      </w:pPr>
      <w:r w:rsidRPr="00B54FD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54FD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54FD7" w:rsidRDefault="00F92268" w:rsidP="00F246C7">
            <w:pPr>
              <w:pStyle w:val="RefTableData"/>
            </w:pPr>
            <w:r w:rsidRPr="00B54FD7">
              <w:t>Reference number(s)</w:t>
            </w:r>
          </w:p>
        </w:tc>
      </w:tr>
      <w:tr w:rsidR="00F92268" w:rsidRPr="00B54FD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5496AF3" w:rsidR="00F92268" w:rsidRPr="00B54FD7" w:rsidRDefault="000B7673" w:rsidP="00F246C7">
            <w:pPr>
              <w:pStyle w:val="RefTableHeader"/>
            </w:pPr>
            <w:r w:rsidRPr="00B54FD7">
              <w:t>1622-A</w:t>
            </w:r>
          </w:p>
        </w:tc>
      </w:tr>
    </w:tbl>
    <w:p w14:paraId="74FBA5B4" w14:textId="77777777" w:rsidR="00051356" w:rsidRPr="00B54FD7" w:rsidRDefault="00051356" w:rsidP="00A672B3">
      <w:pPr>
        <w:pStyle w:val="BodyText"/>
        <w:rPr>
          <w:b/>
          <w:bCs/>
          <w:sz w:val="16"/>
          <w:szCs w:val="16"/>
        </w:rPr>
        <w:sectPr w:rsidR="00051356" w:rsidRPr="00B54FD7" w:rsidSect="00F45BBC">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0D76387D" w14:textId="31842893" w:rsidR="00E92431" w:rsidRPr="00B54FD7" w:rsidRDefault="00E92431" w:rsidP="00E92431">
      <w:pPr>
        <w:pStyle w:val="Heading1"/>
      </w:pPr>
      <w:r w:rsidRPr="00B54FD7">
        <w:t>Specialty Guideline Management</w:t>
      </w:r>
      <w:r w:rsidR="008C54D9" w:rsidRPr="00B54FD7">
        <w:br/>
      </w:r>
      <w:r w:rsidRPr="00B54FD7">
        <w:t>deferasirox</w:t>
      </w:r>
      <w:r w:rsidR="00791794">
        <w:t>–</w:t>
      </w:r>
      <w:r w:rsidR="00791794" w:rsidRPr="00B54FD7">
        <w:t>Exjade</w:t>
      </w:r>
      <w:r w:rsidR="00B3060B">
        <w:t>–</w:t>
      </w:r>
      <w:r w:rsidRPr="00B54FD7">
        <w:t>Jadenu</w:t>
      </w:r>
    </w:p>
    <w:p w14:paraId="78861C92" w14:textId="3C15BFA5" w:rsidR="00203468" w:rsidRPr="00B54FD7" w:rsidRDefault="00C64534" w:rsidP="008E0F0D">
      <w:pPr>
        <w:pStyle w:val="Heading2"/>
      </w:pPr>
      <w:r w:rsidRPr="00B54FD7">
        <w:t xml:space="preserve">Products Referenced by this </w:t>
      </w:r>
      <w:r w:rsidR="00501602" w:rsidRPr="00B54FD7">
        <w:t>Document</w:t>
      </w:r>
    </w:p>
    <w:p w14:paraId="5455152B" w14:textId="15EDEEF7" w:rsidR="008E0F0D" w:rsidRPr="00B54FD7" w:rsidRDefault="00D82D85" w:rsidP="008B73E8">
      <w:pPr>
        <w:pStyle w:val="BodyText"/>
      </w:pPr>
      <w:r w:rsidRPr="00B54FD7">
        <w:t xml:space="preserve">Drugs that are listed in the </w:t>
      </w:r>
      <w:r w:rsidR="000315F1" w:rsidRPr="00B54FD7">
        <w:t>following table</w:t>
      </w:r>
      <w:r w:rsidRPr="00B54FD7">
        <w:t xml:space="preserve"> include both brand and generic and all dosage forms and strengths unless otherwise stated. </w:t>
      </w:r>
      <w:r w:rsidR="00435DD0">
        <w:t>Over-the-counter (</w:t>
      </w:r>
      <w:r w:rsidRPr="00B54FD7">
        <w:t>OTC</w:t>
      </w:r>
      <w:r w:rsidR="00435DD0">
        <w:t>)</w:t>
      </w:r>
      <w:r w:rsidRPr="00B54FD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54FD7" w14:paraId="158421F8" w14:textId="77777777" w:rsidTr="000C5A6F">
        <w:trPr>
          <w:cantSplit/>
          <w:trHeight w:val="288"/>
          <w:tblHeader/>
        </w:trPr>
        <w:tc>
          <w:tcPr>
            <w:tcW w:w="5265" w:type="dxa"/>
            <w:vAlign w:val="center"/>
          </w:tcPr>
          <w:p w14:paraId="2A27354A" w14:textId="1390179E" w:rsidR="00252CE1" w:rsidRPr="00B54FD7" w:rsidRDefault="00252CE1" w:rsidP="00AA1E6A">
            <w:pPr>
              <w:pStyle w:val="TableHeader"/>
            </w:pPr>
            <w:bookmarkStart w:id="0" w:name="_Hlk159603270"/>
            <w:r w:rsidRPr="00B54FD7">
              <w:t>Brand Name</w:t>
            </w:r>
          </w:p>
        </w:tc>
        <w:tc>
          <w:tcPr>
            <w:tcW w:w="5595" w:type="dxa"/>
            <w:vAlign w:val="center"/>
          </w:tcPr>
          <w:p w14:paraId="3D342BE1" w14:textId="75F11EF1" w:rsidR="00252CE1" w:rsidRPr="00B54FD7" w:rsidRDefault="00252CE1" w:rsidP="00AA1E6A">
            <w:pPr>
              <w:pStyle w:val="TableHeader"/>
            </w:pPr>
            <w:r w:rsidRPr="00B54FD7">
              <w:t>Generic Name</w:t>
            </w:r>
          </w:p>
        </w:tc>
      </w:tr>
      <w:tr w:rsidR="00585FFF" w:rsidRPr="00B54FD7" w14:paraId="2AD5C02D" w14:textId="77777777" w:rsidTr="000C5A6F">
        <w:trPr>
          <w:cantSplit/>
        </w:trPr>
        <w:tc>
          <w:tcPr>
            <w:tcW w:w="5265" w:type="dxa"/>
          </w:tcPr>
          <w:p w14:paraId="2D8FA8E3" w14:textId="44B9AADC" w:rsidR="00585FFF" w:rsidRPr="00B54FD7" w:rsidRDefault="00E92431" w:rsidP="00E82ABA">
            <w:pPr>
              <w:pStyle w:val="TableDataUnpadded"/>
            </w:pPr>
            <w:r w:rsidRPr="00B54FD7">
              <w:t>Exjade</w:t>
            </w:r>
          </w:p>
        </w:tc>
        <w:tc>
          <w:tcPr>
            <w:tcW w:w="5595" w:type="dxa"/>
          </w:tcPr>
          <w:p w14:paraId="7E26A004" w14:textId="4FDCBB47" w:rsidR="00585FFF" w:rsidRPr="00B54FD7" w:rsidRDefault="00E92431" w:rsidP="00E82ABA">
            <w:pPr>
              <w:pStyle w:val="TableDataUnpadded"/>
            </w:pPr>
            <w:r w:rsidRPr="00B54FD7">
              <w:t>deferasirox</w:t>
            </w:r>
          </w:p>
        </w:tc>
      </w:tr>
      <w:tr w:rsidR="00D21D0C" w:rsidRPr="00B54FD7" w14:paraId="79C2A122" w14:textId="77777777" w:rsidTr="000C5A6F">
        <w:trPr>
          <w:cantSplit/>
        </w:trPr>
        <w:tc>
          <w:tcPr>
            <w:tcW w:w="5265" w:type="dxa"/>
          </w:tcPr>
          <w:p w14:paraId="08001603" w14:textId="53842DC5" w:rsidR="00D21D0C" w:rsidRPr="00B54FD7" w:rsidRDefault="00E92431" w:rsidP="00E82ABA">
            <w:pPr>
              <w:pStyle w:val="TableDataUnpadded"/>
            </w:pPr>
            <w:r w:rsidRPr="00B54FD7">
              <w:t>Jadenu</w:t>
            </w:r>
          </w:p>
        </w:tc>
        <w:tc>
          <w:tcPr>
            <w:tcW w:w="5595" w:type="dxa"/>
          </w:tcPr>
          <w:p w14:paraId="26C54A5D" w14:textId="5C547262" w:rsidR="00D21D0C" w:rsidRPr="00B54FD7" w:rsidRDefault="00E92431" w:rsidP="00E82ABA">
            <w:pPr>
              <w:pStyle w:val="TableDataUnpadded"/>
            </w:pPr>
            <w:r w:rsidRPr="00B54FD7">
              <w:t>deferasirox</w:t>
            </w:r>
          </w:p>
        </w:tc>
      </w:tr>
    </w:tbl>
    <w:bookmarkEnd w:id="0"/>
    <w:p w14:paraId="14CE6108" w14:textId="063D4A60" w:rsidR="00FC1AAD" w:rsidRPr="00B54FD7" w:rsidRDefault="00ED052F" w:rsidP="00AA2A94">
      <w:pPr>
        <w:pStyle w:val="Heading2"/>
        <w:tabs>
          <w:tab w:val="left" w:pos="9540"/>
        </w:tabs>
      </w:pPr>
      <w:r w:rsidRPr="00B54FD7">
        <w:t>Indications</w:t>
      </w:r>
    </w:p>
    <w:p w14:paraId="52476546" w14:textId="7EA3CFF0" w:rsidR="00E92431" w:rsidRPr="00B54FD7" w:rsidRDefault="00E92431" w:rsidP="00E92431">
      <w:pPr>
        <w:pStyle w:val="BodyText"/>
      </w:pPr>
      <w:r w:rsidRPr="00B54FD7">
        <w:t>The indications below including FDA-approved indications and compendial uses are considered a covered benefit provided that all the approval criteria are met and the member has no exclusions to the prescribed therapy.</w:t>
      </w:r>
    </w:p>
    <w:p w14:paraId="134B5687" w14:textId="12FEF9EF" w:rsidR="00ED052F" w:rsidRPr="00B54FD7" w:rsidRDefault="00ED052F" w:rsidP="00ED052F">
      <w:pPr>
        <w:pStyle w:val="Heading3"/>
        <w:keepNext w:val="0"/>
      </w:pPr>
      <w:r w:rsidRPr="00B54FD7">
        <w:t>FDA-</w:t>
      </w:r>
      <w:r w:rsidR="00E04EE4">
        <w:t>a</w:t>
      </w:r>
      <w:r w:rsidRPr="00B54FD7">
        <w:t>pproved Indications</w:t>
      </w:r>
      <w:r w:rsidR="00E92431" w:rsidRPr="00B54FD7">
        <w:rPr>
          <w:vertAlign w:val="superscript"/>
        </w:rPr>
        <w:t>1-5</w:t>
      </w:r>
    </w:p>
    <w:p w14:paraId="1CBB03DB" w14:textId="2DF98C9C" w:rsidR="00E92431" w:rsidRPr="00B54FD7" w:rsidRDefault="00E92431" w:rsidP="00E92431">
      <w:pPr>
        <w:pStyle w:val="ListParagraph"/>
      </w:pPr>
      <w:r w:rsidRPr="00B54FD7">
        <w:t>Chronic iron overload due to blood transfusions (transfusional hemosiderosis) in patients 2 years of age and older</w:t>
      </w:r>
      <w:r w:rsidR="0046213B">
        <w:t>.</w:t>
      </w:r>
    </w:p>
    <w:p w14:paraId="4C434745" w14:textId="27A6F17F" w:rsidR="00ED052F" w:rsidRPr="00B54FD7" w:rsidRDefault="00E92431" w:rsidP="00E92431">
      <w:pPr>
        <w:pStyle w:val="ListParagraph"/>
      </w:pPr>
      <w:r w:rsidRPr="00B54FD7">
        <w:t xml:space="preserve">Chronic iron overload in patients 10 years of age and older with non-transfusion-dependent thalassemia (NTDT) syndromes and with a liver iron concentration (LIC) of at least 5 milligrams of iron per gram of liver dry weight (mg Fe/g </w:t>
      </w:r>
      <w:proofErr w:type="spellStart"/>
      <w:r w:rsidRPr="00B54FD7">
        <w:t>dw</w:t>
      </w:r>
      <w:proofErr w:type="spellEnd"/>
      <w:r w:rsidRPr="00B54FD7">
        <w:t>) and a serum ferritin greater than 300 mcg/L</w:t>
      </w:r>
      <w:r w:rsidR="0046213B">
        <w:t>.</w:t>
      </w:r>
    </w:p>
    <w:p w14:paraId="0B5EC236" w14:textId="2EBCFCEA" w:rsidR="0044763A" w:rsidRPr="00B54FD7" w:rsidRDefault="009F2EF1" w:rsidP="0044763A">
      <w:pPr>
        <w:pStyle w:val="Heading3"/>
      </w:pPr>
      <w:r w:rsidRPr="00B54FD7">
        <w:t>Compendial Uses</w:t>
      </w:r>
      <w:r w:rsidR="00B16A32">
        <w:rPr>
          <w:vertAlign w:val="superscript"/>
        </w:rPr>
        <w:t>9-</w:t>
      </w:r>
      <w:r w:rsidR="006122C5" w:rsidRPr="00B54FD7">
        <w:rPr>
          <w:vertAlign w:val="superscript"/>
        </w:rPr>
        <w:t>11</w:t>
      </w:r>
    </w:p>
    <w:p w14:paraId="7AEF9F59" w14:textId="2C21B4E9" w:rsidR="006122C5" w:rsidRPr="00B54FD7" w:rsidRDefault="00DE68D0" w:rsidP="00DC389C">
      <w:pPr>
        <w:pStyle w:val="BodyText"/>
      </w:pPr>
      <w:r w:rsidRPr="00B54FD7">
        <w:t>Hereditary hemochromatosis</w:t>
      </w:r>
    </w:p>
    <w:p w14:paraId="0D5A9DD5" w14:textId="55C11989" w:rsidR="009A5649" w:rsidRPr="00B54FD7" w:rsidRDefault="006122C5" w:rsidP="006122C5">
      <w:pPr>
        <w:pStyle w:val="BodyText"/>
        <w:rPr>
          <w:rFonts w:eastAsia="Arial"/>
        </w:rPr>
      </w:pPr>
      <w:r w:rsidRPr="00B54FD7">
        <w:t>All other indications are considered experimental/investigational and not medically necessary.</w:t>
      </w:r>
    </w:p>
    <w:p w14:paraId="36381B6D" w14:textId="3B6254BD" w:rsidR="000D2496" w:rsidRPr="00B54FD7" w:rsidRDefault="000D2496" w:rsidP="000D2496">
      <w:pPr>
        <w:pStyle w:val="Heading2"/>
      </w:pPr>
      <w:r w:rsidRPr="00B54FD7">
        <w:lastRenderedPageBreak/>
        <w:t>Documentation</w:t>
      </w:r>
    </w:p>
    <w:p w14:paraId="6359E91F" w14:textId="77777777" w:rsidR="006122C5" w:rsidRPr="00B54FD7" w:rsidRDefault="006122C5" w:rsidP="006122C5">
      <w:pPr>
        <w:pStyle w:val="BodyText"/>
      </w:pPr>
      <w:r w:rsidRPr="00B54FD7">
        <w:t>Submission of the following information is necessary to initiate the prior authorization review:</w:t>
      </w:r>
    </w:p>
    <w:p w14:paraId="0B5130FE" w14:textId="1A0EBCA9" w:rsidR="006122C5" w:rsidRPr="00B54FD7" w:rsidRDefault="006122C5" w:rsidP="009D7E5A">
      <w:pPr>
        <w:pStyle w:val="ListParagraph"/>
        <w:numPr>
          <w:ilvl w:val="0"/>
          <w:numId w:val="28"/>
        </w:numPr>
      </w:pPr>
      <w:r w:rsidRPr="00B54FD7">
        <w:t xml:space="preserve">Chronic </w:t>
      </w:r>
      <w:r w:rsidR="00E04EE4">
        <w:t>i</w:t>
      </w:r>
      <w:r w:rsidRPr="00B54FD7">
        <w:t xml:space="preserve">ron </w:t>
      </w:r>
      <w:r w:rsidR="00E04EE4">
        <w:t>o</w:t>
      </w:r>
      <w:r w:rsidRPr="00B54FD7">
        <w:t xml:space="preserve">verload due to </w:t>
      </w:r>
      <w:r w:rsidR="00E04EE4">
        <w:t>b</w:t>
      </w:r>
      <w:r w:rsidRPr="00B54FD7">
        <w:t xml:space="preserve">lood </w:t>
      </w:r>
      <w:r w:rsidR="00E04EE4">
        <w:t>t</w:t>
      </w:r>
      <w:r w:rsidRPr="00B54FD7">
        <w:t>ransfusions (transfusional iron overload):</w:t>
      </w:r>
    </w:p>
    <w:p w14:paraId="44D134E0" w14:textId="3ECE7405" w:rsidR="006122C5" w:rsidRPr="00B54FD7" w:rsidRDefault="006122C5" w:rsidP="009D7E5A">
      <w:pPr>
        <w:pStyle w:val="ListParagraph"/>
        <w:numPr>
          <w:ilvl w:val="1"/>
          <w:numId w:val="28"/>
        </w:numPr>
      </w:pPr>
      <w:r w:rsidRPr="00B54FD7">
        <w:t>Initial requests: pretreatment serum ferritin level</w:t>
      </w:r>
    </w:p>
    <w:p w14:paraId="28E63C7C" w14:textId="692F3EFE" w:rsidR="006122C5" w:rsidRPr="00B54FD7" w:rsidRDefault="006122C5" w:rsidP="009D7E5A">
      <w:pPr>
        <w:pStyle w:val="ListParagraph"/>
        <w:numPr>
          <w:ilvl w:val="1"/>
          <w:numId w:val="28"/>
        </w:numPr>
      </w:pPr>
      <w:r w:rsidRPr="00B54FD7">
        <w:t>Continuation requests: current serum ferritin level</w:t>
      </w:r>
    </w:p>
    <w:p w14:paraId="23AB22FC" w14:textId="10C2F91D" w:rsidR="006122C5" w:rsidRPr="00B54FD7" w:rsidRDefault="006122C5" w:rsidP="009D7E5A">
      <w:pPr>
        <w:pStyle w:val="ListParagraph"/>
        <w:numPr>
          <w:ilvl w:val="0"/>
          <w:numId w:val="28"/>
        </w:numPr>
      </w:pPr>
      <w:r w:rsidRPr="00B54FD7">
        <w:t xml:space="preserve">Chronic </w:t>
      </w:r>
      <w:r w:rsidR="00E04EE4">
        <w:t>i</w:t>
      </w:r>
      <w:r w:rsidRPr="00B54FD7">
        <w:t xml:space="preserve">ron </w:t>
      </w:r>
      <w:r w:rsidR="00E04EE4">
        <w:t>o</w:t>
      </w:r>
      <w:r w:rsidRPr="00B54FD7">
        <w:t xml:space="preserve">verload in </w:t>
      </w:r>
      <w:r w:rsidR="00E04EE4">
        <w:t>p</w:t>
      </w:r>
      <w:r w:rsidRPr="00B54FD7">
        <w:t xml:space="preserve">atients with </w:t>
      </w:r>
      <w:r w:rsidR="00E04EE4">
        <w:t>n</w:t>
      </w:r>
      <w:r w:rsidRPr="00B54FD7">
        <w:t xml:space="preserve">on-transfusion </w:t>
      </w:r>
      <w:r w:rsidR="00E04EE4">
        <w:t>d</w:t>
      </w:r>
      <w:r w:rsidRPr="00B54FD7">
        <w:t xml:space="preserve">ependent </w:t>
      </w:r>
      <w:r w:rsidR="00E04EE4">
        <w:t>t</w:t>
      </w:r>
      <w:r w:rsidRPr="00B54FD7">
        <w:t xml:space="preserve">halassemia </w:t>
      </w:r>
      <w:r w:rsidR="00E04EE4">
        <w:t>s</w:t>
      </w:r>
      <w:r w:rsidRPr="00B54FD7">
        <w:t>yndromes:</w:t>
      </w:r>
    </w:p>
    <w:p w14:paraId="7769F163" w14:textId="22DB783F" w:rsidR="006122C5" w:rsidRPr="00B54FD7" w:rsidRDefault="006122C5" w:rsidP="009D7E5A">
      <w:pPr>
        <w:pStyle w:val="ListParagraph"/>
        <w:numPr>
          <w:ilvl w:val="1"/>
          <w:numId w:val="28"/>
        </w:numPr>
      </w:pPr>
      <w:r w:rsidRPr="00B54FD7">
        <w:t>Initial requests: pretreatment serum ferritin level or liver iron concentration (where applicable)</w:t>
      </w:r>
    </w:p>
    <w:p w14:paraId="2180ED6E" w14:textId="278C524D" w:rsidR="000D2496" w:rsidRPr="00B54FD7" w:rsidRDefault="006122C5" w:rsidP="009D7E5A">
      <w:pPr>
        <w:pStyle w:val="ListParagraph"/>
        <w:numPr>
          <w:ilvl w:val="1"/>
          <w:numId w:val="28"/>
        </w:numPr>
      </w:pPr>
      <w:r w:rsidRPr="00B54FD7">
        <w:t>Continuation requests: current serum ferritin level</w:t>
      </w:r>
    </w:p>
    <w:p w14:paraId="50A38FBA" w14:textId="3D6F24AB" w:rsidR="00FE0C63" w:rsidRPr="00B54FD7" w:rsidRDefault="00685107" w:rsidP="00E050E1">
      <w:pPr>
        <w:pStyle w:val="Heading2"/>
      </w:pPr>
      <w:r w:rsidRPr="00B54FD7">
        <w:t>Coverage Criteria</w:t>
      </w:r>
    </w:p>
    <w:p w14:paraId="0A2129F8" w14:textId="78D970EF" w:rsidR="00DE68D0" w:rsidRPr="00B54FD7" w:rsidRDefault="00DE68D0" w:rsidP="00DE68D0">
      <w:pPr>
        <w:pStyle w:val="Heading3"/>
      </w:pPr>
      <w:r w:rsidRPr="00B54FD7">
        <w:t>Chronic Iron Overload due to Blood Transfusions (</w:t>
      </w:r>
      <w:r w:rsidR="00737322">
        <w:t>T</w:t>
      </w:r>
      <w:r w:rsidRPr="00B54FD7">
        <w:t xml:space="preserve">ransfusional </w:t>
      </w:r>
      <w:r w:rsidR="00737322">
        <w:t>I</w:t>
      </w:r>
      <w:r w:rsidRPr="00B54FD7">
        <w:t xml:space="preserve">ron </w:t>
      </w:r>
      <w:r w:rsidR="00737322">
        <w:t>O</w:t>
      </w:r>
      <w:r w:rsidRPr="00B54FD7">
        <w:t>verload)</w:t>
      </w:r>
      <w:r w:rsidRPr="00B54FD7">
        <w:rPr>
          <w:vertAlign w:val="superscript"/>
        </w:rPr>
        <w:t>1-7</w:t>
      </w:r>
    </w:p>
    <w:p w14:paraId="3553D095" w14:textId="48CE68F9" w:rsidR="00DE68D0" w:rsidRPr="00B54FD7" w:rsidRDefault="00DE68D0" w:rsidP="00DE68D0">
      <w:pPr>
        <w:pStyle w:val="BodyText"/>
      </w:pPr>
      <w:r w:rsidRPr="00B54FD7">
        <w:t xml:space="preserve">Authorization of </w:t>
      </w:r>
      <w:r w:rsidR="00387D75">
        <w:t>12</w:t>
      </w:r>
      <w:r w:rsidRPr="00B54FD7">
        <w:t xml:space="preserve"> months may be granted for treatment of chronic iron overload due to blood transfusions when both of the following criteria are met:</w:t>
      </w:r>
    </w:p>
    <w:p w14:paraId="6B75B486" w14:textId="77777777" w:rsidR="00DE68D0" w:rsidRPr="00B54FD7" w:rsidRDefault="00DE68D0" w:rsidP="009D7E5A">
      <w:pPr>
        <w:pStyle w:val="ListParagraph"/>
        <w:numPr>
          <w:ilvl w:val="0"/>
          <w:numId w:val="29"/>
        </w:numPr>
      </w:pPr>
      <w:r w:rsidRPr="00B54FD7">
        <w:t>Pretreatment serum ferritin level is consistently greater than 1000 mcg/L.</w:t>
      </w:r>
    </w:p>
    <w:p w14:paraId="6FE6AE5E" w14:textId="612E7B80" w:rsidR="00DE68D0" w:rsidRPr="00B54FD7" w:rsidRDefault="00DE68D0" w:rsidP="009D7E5A">
      <w:pPr>
        <w:pStyle w:val="ListParagraph"/>
        <w:numPr>
          <w:ilvl w:val="0"/>
          <w:numId w:val="29"/>
        </w:numPr>
      </w:pPr>
      <w:r w:rsidRPr="00B54FD7">
        <w:t>Dose of deferasirox tablet for suspension/Exjade will not exceed 40 mg/kg per day, dose of deferasirox/Jadenu will not exceed 28 mg/kg per day.</w:t>
      </w:r>
    </w:p>
    <w:p w14:paraId="7FBC37E4" w14:textId="319E04E1" w:rsidR="00DE68D0" w:rsidRPr="00B54FD7" w:rsidRDefault="00DE68D0" w:rsidP="00DE68D0">
      <w:pPr>
        <w:pStyle w:val="Heading3"/>
      </w:pPr>
      <w:r w:rsidRPr="00B54FD7">
        <w:t>Chronic Iron Overload in Patients with Non-</w:t>
      </w:r>
      <w:r w:rsidR="00E04EE4">
        <w:t>T</w:t>
      </w:r>
      <w:r w:rsidRPr="00B54FD7">
        <w:t>ransfusion Dependent Thalassemia Syndromes</w:t>
      </w:r>
      <w:r w:rsidRPr="00B54FD7">
        <w:rPr>
          <w:vertAlign w:val="superscript"/>
        </w:rPr>
        <w:t>1-5,8</w:t>
      </w:r>
    </w:p>
    <w:p w14:paraId="72B92DD2" w14:textId="162DFF36" w:rsidR="00DE68D0" w:rsidRPr="00B54FD7" w:rsidRDefault="00DE68D0" w:rsidP="00DE68D0">
      <w:pPr>
        <w:pStyle w:val="BodyText"/>
      </w:pPr>
      <w:r w:rsidRPr="00B54FD7">
        <w:t xml:space="preserve">Authorization of </w:t>
      </w:r>
      <w:r w:rsidR="00387D75">
        <w:t>12</w:t>
      </w:r>
      <w:r w:rsidRPr="00B54FD7">
        <w:t xml:space="preserve"> months may be granted for treatment of chronic iron overload in members with non-transfusion dependent thalassemia syndromes when both of the following criteria are met:</w:t>
      </w:r>
    </w:p>
    <w:p w14:paraId="451FC534" w14:textId="77777777" w:rsidR="00DE68D0" w:rsidRPr="00B54FD7" w:rsidRDefault="00DE68D0" w:rsidP="009D7E5A">
      <w:pPr>
        <w:pStyle w:val="ListParagraph"/>
        <w:numPr>
          <w:ilvl w:val="0"/>
          <w:numId w:val="30"/>
        </w:numPr>
      </w:pPr>
      <w:r w:rsidRPr="00B54FD7">
        <w:t>Member meets any of the following:</w:t>
      </w:r>
    </w:p>
    <w:p w14:paraId="6EDD35BA" w14:textId="77777777" w:rsidR="00DE68D0" w:rsidRPr="00B54FD7" w:rsidRDefault="00DE68D0" w:rsidP="009D7E5A">
      <w:pPr>
        <w:pStyle w:val="ListParagraph"/>
        <w:numPr>
          <w:ilvl w:val="1"/>
          <w:numId w:val="30"/>
        </w:numPr>
      </w:pPr>
      <w:r w:rsidRPr="00B54FD7">
        <w:t>Pretreatment serum ferritin level is greater than or equal to 800 mcg/L.</w:t>
      </w:r>
    </w:p>
    <w:p w14:paraId="3763189B" w14:textId="77777777" w:rsidR="00DE68D0" w:rsidRPr="00B54FD7" w:rsidRDefault="00DE68D0" w:rsidP="009D7E5A">
      <w:pPr>
        <w:pStyle w:val="ListParagraph"/>
        <w:numPr>
          <w:ilvl w:val="1"/>
          <w:numId w:val="30"/>
        </w:numPr>
      </w:pPr>
      <w:r w:rsidRPr="00B54FD7">
        <w:t xml:space="preserve">Pretreatment liver iron concentration (LIC) is at least 5 milligrams of iron per gram of liver dry weight (mg Fe/g </w:t>
      </w:r>
      <w:proofErr w:type="spellStart"/>
      <w:r w:rsidRPr="00B54FD7">
        <w:t>dw</w:t>
      </w:r>
      <w:proofErr w:type="spellEnd"/>
      <w:r w:rsidRPr="00B54FD7">
        <w:t>).</w:t>
      </w:r>
    </w:p>
    <w:p w14:paraId="6FB3CBD8" w14:textId="42AA2E66" w:rsidR="00DE68D0" w:rsidRPr="00B54FD7" w:rsidRDefault="00DE68D0" w:rsidP="009D7E5A">
      <w:pPr>
        <w:pStyle w:val="ListParagraph"/>
        <w:numPr>
          <w:ilvl w:val="1"/>
          <w:numId w:val="30"/>
        </w:numPr>
      </w:pPr>
      <w:r w:rsidRPr="00B54FD7">
        <w:t>Pretreatment serum ferritin level is greater than 300 mcg/L to less than 800 mcg/L and</w:t>
      </w:r>
      <w:r w:rsidR="00E04EE4">
        <w:t xml:space="preserve"> member</w:t>
      </w:r>
      <w:r w:rsidRPr="00B54FD7">
        <w:t xml:space="preserve"> has clinical or laboratory measures indicative of iron overload (e.g., liver disease, renal disease).</w:t>
      </w:r>
    </w:p>
    <w:p w14:paraId="1CF83D4D" w14:textId="4F44BB03" w:rsidR="00DE68D0" w:rsidRPr="00B54FD7" w:rsidRDefault="00DE68D0" w:rsidP="00864B13">
      <w:pPr>
        <w:pStyle w:val="ListParagraph"/>
        <w:numPr>
          <w:ilvl w:val="0"/>
          <w:numId w:val="30"/>
        </w:numPr>
        <w:spacing w:after="0"/>
      </w:pPr>
      <w:r w:rsidRPr="00B54FD7">
        <w:t>Dose of deferasirox tablet for suspension/Exjade will not exceed 20 mg/kg per day, dose of deferasirox/Jadenu will not exceed 14 mg/kg per day.</w:t>
      </w:r>
    </w:p>
    <w:p w14:paraId="7A546745" w14:textId="77777777" w:rsidR="00DE68D0" w:rsidRPr="00B54FD7" w:rsidRDefault="00DE68D0" w:rsidP="00DE68D0">
      <w:pPr>
        <w:pStyle w:val="Heading3"/>
      </w:pPr>
      <w:r w:rsidRPr="00B54FD7">
        <w:t>Hereditary Hemochromatosis</w:t>
      </w:r>
      <w:r w:rsidRPr="00B54FD7">
        <w:rPr>
          <w:vertAlign w:val="superscript"/>
        </w:rPr>
        <w:t>9-11</w:t>
      </w:r>
    </w:p>
    <w:p w14:paraId="554B6E8F" w14:textId="7DA47B6D" w:rsidR="00B836B0" w:rsidRPr="00B54FD7" w:rsidRDefault="00DE68D0" w:rsidP="00864B13">
      <w:pPr>
        <w:pStyle w:val="BodyText"/>
        <w:spacing w:after="0"/>
      </w:pPr>
      <w:r w:rsidRPr="00B54FD7">
        <w:t xml:space="preserve">Authorization of </w:t>
      </w:r>
      <w:r w:rsidR="00387D75">
        <w:t>12</w:t>
      </w:r>
      <w:r w:rsidRPr="00B54FD7">
        <w:t xml:space="preserve"> months may be granted for treatment of hereditary hemochromatosis when phlebotomy is not an option (e.g., poor venous access, poor candidate due to underlying medical disorders) or the member had an unsatisfactory response to phlebotomy.</w:t>
      </w:r>
    </w:p>
    <w:p w14:paraId="3A643EC3" w14:textId="214C4F48" w:rsidR="00A501AC" w:rsidRPr="00B54FD7" w:rsidRDefault="00A501AC" w:rsidP="00A501AC">
      <w:pPr>
        <w:pStyle w:val="Heading2"/>
      </w:pPr>
      <w:r w:rsidRPr="00B54FD7">
        <w:t>Continuation of Therapy</w:t>
      </w:r>
    </w:p>
    <w:p w14:paraId="403C524F" w14:textId="2A145642" w:rsidR="00DE68D0" w:rsidRPr="00B54FD7" w:rsidRDefault="00DE68D0" w:rsidP="00DE68D0">
      <w:pPr>
        <w:pStyle w:val="Heading3"/>
      </w:pPr>
      <w:r w:rsidRPr="00B54FD7">
        <w:t>Chronic Iron Overload due to Blood Transfusions (</w:t>
      </w:r>
      <w:r w:rsidR="00E04EE4">
        <w:t>T</w:t>
      </w:r>
      <w:r w:rsidRPr="00B54FD7">
        <w:t>ransfusional iron overload)</w:t>
      </w:r>
      <w:r w:rsidRPr="00B54FD7">
        <w:rPr>
          <w:vertAlign w:val="superscript"/>
        </w:rPr>
        <w:t>1-</w:t>
      </w:r>
      <w:r w:rsidR="00DA7B38">
        <w:rPr>
          <w:vertAlign w:val="superscript"/>
        </w:rPr>
        <w:t>5</w:t>
      </w:r>
    </w:p>
    <w:p w14:paraId="652E8A45" w14:textId="693DE629" w:rsidR="00DE68D0" w:rsidRPr="00B54FD7" w:rsidRDefault="00DE68D0" w:rsidP="00DE68D0">
      <w:pPr>
        <w:pStyle w:val="BodyText"/>
      </w:pPr>
      <w:r w:rsidRPr="00B54FD7">
        <w:t xml:space="preserve">Authorization of </w:t>
      </w:r>
      <w:r w:rsidR="00D92285">
        <w:t>12</w:t>
      </w:r>
      <w:r w:rsidRPr="00B54FD7">
        <w:t xml:space="preserve"> months may be granted for continued treatment in members requesting reauthorization for chronic iron overload due to blood transfusions (transfusional iron overload) when both of the following criteria are met:</w:t>
      </w:r>
    </w:p>
    <w:p w14:paraId="457B76A5" w14:textId="643F4429" w:rsidR="00DE68D0" w:rsidRPr="00B54FD7" w:rsidRDefault="00DE68D0" w:rsidP="009D7E5A">
      <w:pPr>
        <w:pStyle w:val="ListParagraph"/>
        <w:numPr>
          <w:ilvl w:val="0"/>
          <w:numId w:val="31"/>
        </w:numPr>
      </w:pPr>
      <w:r w:rsidRPr="00B54FD7">
        <w:t>Member is experiencing benefit from therapy as evidenced by a decrease in serum ferritin levels as compared to pretreatment baseline.</w:t>
      </w:r>
    </w:p>
    <w:p w14:paraId="4C293AE0" w14:textId="5974971F" w:rsidR="00DE68D0" w:rsidRPr="00B54FD7" w:rsidRDefault="00DE68D0" w:rsidP="009D7E5A">
      <w:pPr>
        <w:pStyle w:val="ListParagraph"/>
        <w:numPr>
          <w:ilvl w:val="0"/>
          <w:numId w:val="31"/>
        </w:numPr>
      </w:pPr>
      <w:r w:rsidRPr="00B54FD7">
        <w:t>Serum ferritin level is not consistently below 500 mcg/L.</w:t>
      </w:r>
    </w:p>
    <w:p w14:paraId="64C48AD9" w14:textId="06B397FA" w:rsidR="00DE68D0" w:rsidRPr="00B54FD7" w:rsidRDefault="00DE68D0" w:rsidP="00DE68D0">
      <w:pPr>
        <w:pStyle w:val="Heading3"/>
      </w:pPr>
      <w:r w:rsidRPr="00B54FD7">
        <w:t>Chronic Iron Overload in Patients with Non-</w:t>
      </w:r>
      <w:r w:rsidR="00E04EE4">
        <w:t>T</w:t>
      </w:r>
      <w:r w:rsidRPr="00B54FD7">
        <w:t>ransfusion Dependent Thalassemia Syndromes</w:t>
      </w:r>
      <w:r w:rsidRPr="00B54FD7">
        <w:rPr>
          <w:vertAlign w:val="superscript"/>
        </w:rPr>
        <w:t>1-5</w:t>
      </w:r>
      <w:r w:rsidR="00DA7B38">
        <w:rPr>
          <w:vertAlign w:val="superscript"/>
        </w:rPr>
        <w:t>,8</w:t>
      </w:r>
    </w:p>
    <w:p w14:paraId="630FA11D" w14:textId="32DA0692" w:rsidR="00DE68D0" w:rsidRPr="00B54FD7" w:rsidRDefault="00DE68D0" w:rsidP="00DE68D0">
      <w:pPr>
        <w:pStyle w:val="BodyText"/>
      </w:pPr>
      <w:r w:rsidRPr="00B54FD7">
        <w:t xml:space="preserve">Authorization of </w:t>
      </w:r>
      <w:r w:rsidR="00D92285">
        <w:t>12</w:t>
      </w:r>
      <w:r w:rsidRPr="00B54FD7">
        <w:t xml:space="preserve"> months may be granted for continued treatment in members requesting reauthorization for chronic iron overload with non-transfusion dependent thalassemia syndrome when both of the following criteria are met:</w:t>
      </w:r>
    </w:p>
    <w:p w14:paraId="69A4C028" w14:textId="499536C8" w:rsidR="00DE68D0" w:rsidRPr="00B54FD7" w:rsidRDefault="00DE68D0" w:rsidP="009D7E5A">
      <w:pPr>
        <w:pStyle w:val="ListParagraph"/>
        <w:numPr>
          <w:ilvl w:val="0"/>
          <w:numId w:val="32"/>
        </w:numPr>
      </w:pPr>
      <w:r w:rsidRPr="00B54FD7">
        <w:t>Member is experiencing benefit from therapy as evidenced by a decrease in serum ferritin levels as compared to pretreatment baseline.</w:t>
      </w:r>
    </w:p>
    <w:p w14:paraId="13D8C6C3" w14:textId="29D41CB0" w:rsidR="00DE68D0" w:rsidRDefault="00DE68D0" w:rsidP="009D7E5A">
      <w:pPr>
        <w:pStyle w:val="ListParagraph"/>
        <w:numPr>
          <w:ilvl w:val="0"/>
          <w:numId w:val="32"/>
        </w:numPr>
      </w:pPr>
      <w:r w:rsidRPr="00B54FD7">
        <w:t>Serum ferritin level is not consistently below 300 mcg/L.</w:t>
      </w:r>
    </w:p>
    <w:p w14:paraId="7E4DD5F7" w14:textId="713AE414" w:rsidR="00DE68D0" w:rsidRPr="00B54FD7" w:rsidRDefault="00DE68D0" w:rsidP="00864B13">
      <w:pPr>
        <w:pStyle w:val="Heading3"/>
        <w:keepNext w:val="0"/>
        <w:keepLines w:val="0"/>
        <w:widowControl w:val="0"/>
      </w:pPr>
      <w:r w:rsidRPr="00B54FD7">
        <w:t>Hereditary Hemochromatosis</w:t>
      </w:r>
    </w:p>
    <w:p w14:paraId="32C8905D" w14:textId="7B4CD9AF" w:rsidR="00A501AC" w:rsidRPr="00B54FD7" w:rsidRDefault="00DE68D0" w:rsidP="00864B13">
      <w:pPr>
        <w:pStyle w:val="BodyText"/>
        <w:widowControl w:val="0"/>
      </w:pPr>
      <w:r w:rsidRPr="00B54FD7">
        <w:t xml:space="preserve">Authorization of </w:t>
      </w:r>
      <w:r w:rsidR="00697E85">
        <w:t>12</w:t>
      </w:r>
      <w:r w:rsidRPr="00B54FD7">
        <w:t xml:space="preserve"> months may be granted for continued treatment in members requesting reauthorization for hereditary hemochromatosis when</w:t>
      </w:r>
      <w:r w:rsidR="00E04EE4">
        <w:t xml:space="preserve"> the</w:t>
      </w:r>
      <w:r w:rsidRPr="00B54FD7">
        <w:t xml:space="preserve"> member is experiencing benefit from therapy as evidenced by a decrease in serum ferritin levels as compared to pretreatment baseline.</w:t>
      </w:r>
    </w:p>
    <w:p w14:paraId="10DA4309" w14:textId="048B47FD" w:rsidR="00FF66BF" w:rsidRPr="00B54FD7" w:rsidRDefault="00FF66BF" w:rsidP="00FF66BF">
      <w:pPr>
        <w:pStyle w:val="Heading2"/>
      </w:pPr>
      <w:r w:rsidRPr="00B54FD7">
        <w:t>References</w:t>
      </w:r>
    </w:p>
    <w:p w14:paraId="719457F1" w14:textId="77777777" w:rsidR="000B7673" w:rsidRPr="00883E6B" w:rsidRDefault="000B7673" w:rsidP="00883E6B">
      <w:pPr>
        <w:pStyle w:val="ReferenceOrdered"/>
      </w:pPr>
      <w:r w:rsidRPr="00883E6B">
        <w:t>Exjade [package insert]. East Hanover, NJ: Novartis Pharmaceuticals Corporation; July 2020.</w:t>
      </w:r>
    </w:p>
    <w:p w14:paraId="62FEB78D" w14:textId="77777777" w:rsidR="000B7673" w:rsidRPr="00883E6B" w:rsidRDefault="000B7673" w:rsidP="00883E6B">
      <w:pPr>
        <w:pStyle w:val="ReferenceOrdered"/>
      </w:pPr>
      <w:r w:rsidRPr="00883E6B">
        <w:t>Jadenu [package insert]. East Hanover, NJ: Novartis Pharmaceuticals Corporation; July 2020.</w:t>
      </w:r>
    </w:p>
    <w:p w14:paraId="60D497ED" w14:textId="3CA842D6" w:rsidR="000B7673" w:rsidRPr="00883E6B" w:rsidRDefault="000B7673" w:rsidP="00883E6B">
      <w:pPr>
        <w:pStyle w:val="ReferenceOrdered"/>
      </w:pPr>
      <w:r w:rsidRPr="00883E6B">
        <w:t xml:space="preserve">Deferasirox tablet for suspension [package insert]. </w:t>
      </w:r>
      <w:proofErr w:type="spellStart"/>
      <w:r w:rsidR="002624F9">
        <w:t>Parisppany</w:t>
      </w:r>
      <w:proofErr w:type="spellEnd"/>
      <w:r w:rsidRPr="00883E6B">
        <w:t xml:space="preserve">, </w:t>
      </w:r>
      <w:r w:rsidR="002624F9">
        <w:t>NJ</w:t>
      </w:r>
      <w:r w:rsidRPr="00883E6B">
        <w:t>: Actavis Pharma, Inc; August 2021.</w:t>
      </w:r>
    </w:p>
    <w:p w14:paraId="56D55B07" w14:textId="77777777" w:rsidR="000B7673" w:rsidRPr="00883E6B" w:rsidRDefault="000B7673" w:rsidP="00883E6B">
      <w:pPr>
        <w:pStyle w:val="ReferenceOrdered"/>
      </w:pPr>
      <w:r w:rsidRPr="00883E6B">
        <w:t>Deferasirox tablet [package insert]. Princeton, NJ: Dr. Reddy’s Laboratories Inc.; January 2021.</w:t>
      </w:r>
    </w:p>
    <w:p w14:paraId="52120604" w14:textId="1EA4D8F8" w:rsidR="000B7673" w:rsidRPr="00883E6B" w:rsidRDefault="000B7673" w:rsidP="00883E6B">
      <w:pPr>
        <w:pStyle w:val="ReferenceOrdered"/>
      </w:pPr>
      <w:r w:rsidRPr="00883E6B">
        <w:t xml:space="preserve">Deferasirox granule [package insert]. </w:t>
      </w:r>
      <w:r w:rsidR="004049CE">
        <w:t>Parsippany</w:t>
      </w:r>
      <w:r w:rsidRPr="00883E6B">
        <w:t xml:space="preserve">, NJ: </w:t>
      </w:r>
      <w:r w:rsidR="002624F9">
        <w:t>Actavis Pharma</w:t>
      </w:r>
      <w:r w:rsidR="004049CE">
        <w:t>, Inc</w:t>
      </w:r>
      <w:r w:rsidR="00F272BB">
        <w:t>.</w:t>
      </w:r>
      <w:r w:rsidRPr="00883E6B">
        <w:t xml:space="preserve">; </w:t>
      </w:r>
      <w:r w:rsidR="004049CE">
        <w:t>January</w:t>
      </w:r>
      <w:r w:rsidRPr="00883E6B">
        <w:t xml:space="preserve"> 202</w:t>
      </w:r>
      <w:r w:rsidR="004049CE">
        <w:t>4</w:t>
      </w:r>
      <w:r w:rsidRPr="00883E6B">
        <w:t>.</w:t>
      </w:r>
    </w:p>
    <w:p w14:paraId="03314FC3" w14:textId="542C5CB2" w:rsidR="00F02942" w:rsidRPr="009F7312" w:rsidRDefault="00F02942" w:rsidP="00F02942">
      <w:pPr>
        <w:pStyle w:val="ReferenceOrdered"/>
      </w:pPr>
      <w:r>
        <w:t>Taher AT</w:t>
      </w:r>
      <w:r w:rsidRPr="009F7312">
        <w:t xml:space="preserve">, </w:t>
      </w:r>
      <w:r>
        <w:t>Farmakis D</w:t>
      </w:r>
      <w:r w:rsidRPr="009F7312">
        <w:t>, Porter J</w:t>
      </w:r>
      <w:r>
        <w:t>B</w:t>
      </w:r>
      <w:r w:rsidRPr="009F7312">
        <w:t xml:space="preserve">, et al. Guidelines for the management of transfusion dependent </w:t>
      </w:r>
      <w:proofErr w:type="spellStart"/>
      <w:r w:rsidRPr="009F7312">
        <w:t>thalassaemia</w:t>
      </w:r>
      <w:proofErr w:type="spellEnd"/>
      <w:r w:rsidRPr="009F7312">
        <w:t xml:space="preserve"> (TDT) </w:t>
      </w:r>
      <w:r>
        <w:t>5</w:t>
      </w:r>
      <w:r w:rsidRPr="009F7312">
        <w:t xml:space="preserve">th Edition [Internet]. </w:t>
      </w:r>
      <w:proofErr w:type="spellStart"/>
      <w:r w:rsidRPr="009F7312">
        <w:t>Thalassaemia</w:t>
      </w:r>
      <w:proofErr w:type="spellEnd"/>
      <w:r w:rsidRPr="009F7312">
        <w:t xml:space="preserve"> International Federation</w:t>
      </w:r>
      <w:r>
        <w:t>.</w:t>
      </w:r>
      <w:r w:rsidRPr="009F7312">
        <w:t xml:space="preserve"> 202</w:t>
      </w:r>
      <w:r>
        <w:t>5</w:t>
      </w:r>
      <w:r w:rsidRPr="009F7312">
        <w:t>.</w:t>
      </w:r>
      <w:r>
        <w:t xml:space="preserve"> Available at: </w:t>
      </w:r>
      <w:r w:rsidRPr="002C5E11">
        <w:t>https://thalassaemia.org.cy/publications/tif-publications/guidelines-for-the-management-of-transfusion-dependent-%ce%b2-thalassaemia-5th-edition-2025</w:t>
      </w:r>
      <w:r>
        <w:t>. Accessed January 30, 2025.</w:t>
      </w:r>
    </w:p>
    <w:p w14:paraId="64DE276E" w14:textId="268A015F" w:rsidR="008F4DB3" w:rsidRPr="009F7312" w:rsidRDefault="008F4DB3" w:rsidP="008F4DB3">
      <w:pPr>
        <w:pStyle w:val="ReferenceOrdered"/>
      </w:pPr>
      <w:r>
        <w:rPr>
          <w:lang w:val="sv-SE"/>
        </w:rPr>
        <w:t>Shah FT, Porter JB, Sadasivam N, et al</w:t>
      </w:r>
      <w:r w:rsidRPr="008C57CD">
        <w:rPr>
          <w:lang w:val="sv-SE"/>
        </w:rPr>
        <w:t xml:space="preserve">. </w:t>
      </w:r>
      <w:r>
        <w:t>Guidelines for the monitoring and management of iron overload in patients with haemoglobinopathies and rare anemias</w:t>
      </w:r>
      <w:r w:rsidRPr="009F7312">
        <w:t>. B</w:t>
      </w:r>
      <w:r>
        <w:t xml:space="preserve">r J </w:t>
      </w:r>
      <w:proofErr w:type="spellStart"/>
      <w:r>
        <w:t>Haematol</w:t>
      </w:r>
      <w:proofErr w:type="spellEnd"/>
      <w:r>
        <w:t>.</w:t>
      </w:r>
      <w:r w:rsidRPr="009F7312">
        <w:t xml:space="preserve"> 20</w:t>
      </w:r>
      <w:r>
        <w:t>2</w:t>
      </w:r>
      <w:r w:rsidRPr="009F7312">
        <w:t>2;</w:t>
      </w:r>
      <w:r>
        <w:t>196(2):336-350</w:t>
      </w:r>
      <w:r w:rsidRPr="009F7312">
        <w:t>.</w:t>
      </w:r>
    </w:p>
    <w:p w14:paraId="2C2F2388" w14:textId="6BE4412D" w:rsidR="000B7673" w:rsidRPr="00883E6B" w:rsidRDefault="000B7673" w:rsidP="00883E6B">
      <w:pPr>
        <w:pStyle w:val="ReferenceOrdered"/>
      </w:pPr>
      <w:r w:rsidRPr="00883E6B">
        <w:t xml:space="preserve">Taher A, Musallam K, </w:t>
      </w:r>
      <w:proofErr w:type="spellStart"/>
      <w:r w:rsidRPr="00883E6B">
        <w:t>Cappellini</w:t>
      </w:r>
      <w:proofErr w:type="spellEnd"/>
      <w:r w:rsidRPr="00883E6B">
        <w:t xml:space="preserve"> M, et al. Guidelines for the management of non-transfusion dependent </w:t>
      </w:r>
      <w:r w:rsidRPr="00883E6B">
        <w:rPr>
          <w:rFonts w:ascii="Calibri" w:hAnsi="Calibri" w:cs="Calibri"/>
        </w:rPr>
        <w:t>β</w:t>
      </w:r>
      <w:r w:rsidRPr="00883E6B">
        <w:t>-</w:t>
      </w:r>
      <w:proofErr w:type="spellStart"/>
      <w:r w:rsidRPr="00883E6B">
        <w:t>thalassaemia</w:t>
      </w:r>
      <w:proofErr w:type="spellEnd"/>
      <w:r w:rsidRPr="00883E6B">
        <w:t xml:space="preserve"> 3rd Edition. </w:t>
      </w:r>
      <w:proofErr w:type="spellStart"/>
      <w:r w:rsidRPr="00883E6B">
        <w:t>Thalassaemia</w:t>
      </w:r>
      <w:proofErr w:type="spellEnd"/>
      <w:r w:rsidRPr="00883E6B">
        <w:t xml:space="preserve"> International Federation</w:t>
      </w:r>
      <w:r w:rsidR="00A92F2C">
        <w:t>.</w:t>
      </w:r>
      <w:r w:rsidRPr="00883E6B">
        <w:t xml:space="preserve"> 2023;1-132.</w:t>
      </w:r>
    </w:p>
    <w:p w14:paraId="2772D5A0" w14:textId="34C80A8C" w:rsidR="000B7673" w:rsidRPr="00883E6B" w:rsidRDefault="00DA7B38" w:rsidP="00883E6B">
      <w:pPr>
        <w:pStyle w:val="ReferenceOrdered"/>
      </w:pPr>
      <w:r>
        <w:t>European Association for the Study of the Liver. EASL Clinical practice guidelines on haemochromatosis. J Hepatol. 2022;77(2):479-502.</w:t>
      </w:r>
    </w:p>
    <w:p w14:paraId="7B7A1DF5" w14:textId="6450294A" w:rsidR="000B7673" w:rsidRPr="00883E6B" w:rsidRDefault="000B7673" w:rsidP="00883E6B">
      <w:pPr>
        <w:pStyle w:val="ReferenceOrdered"/>
      </w:pPr>
      <w:r w:rsidRPr="008E567D">
        <w:rPr>
          <w:lang w:val="fr-FR"/>
        </w:rPr>
        <w:t xml:space="preserve">Adams P, Barton J, et al. </w:t>
      </w:r>
      <w:r w:rsidRPr="00883E6B">
        <w:t>How I Treat Hemochromatosis. Blood</w:t>
      </w:r>
      <w:r w:rsidR="00A92F2C">
        <w:t>.</w:t>
      </w:r>
      <w:r w:rsidRPr="00883E6B">
        <w:t xml:space="preserve"> 2010;116</w:t>
      </w:r>
      <w:r w:rsidR="009D5F18">
        <w:t>(3</w:t>
      </w:r>
      <w:r w:rsidRPr="00883E6B">
        <w:t>): 317-325.</w:t>
      </w:r>
    </w:p>
    <w:p w14:paraId="26E25A0F" w14:textId="16DC411C" w:rsidR="00FF66BF" w:rsidRPr="00883E6B" w:rsidRDefault="000B7673" w:rsidP="00883E6B">
      <w:pPr>
        <w:pStyle w:val="ReferenceOrdered"/>
      </w:pPr>
      <w:proofErr w:type="spellStart"/>
      <w:r w:rsidRPr="00883E6B">
        <w:t>Kowdley</w:t>
      </w:r>
      <w:proofErr w:type="spellEnd"/>
      <w:r w:rsidRPr="00883E6B">
        <w:t xml:space="preserve"> KV, Brown KE, et al. ACG Clinical Guideline: Hereditary Hemochromatosis. Am J Gastroenterol. 2019;114(8):1202-1218.</w:t>
      </w:r>
    </w:p>
    <w:sectPr w:rsidR="00FF66BF" w:rsidRPr="00883E6B" w:rsidSect="005C42CF">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3418" w14:textId="77777777" w:rsidR="004374DA" w:rsidRDefault="004374DA">
      <w:r>
        <w:separator/>
      </w:r>
    </w:p>
  </w:endnote>
  <w:endnote w:type="continuationSeparator" w:id="0">
    <w:p w14:paraId="3C3762EE" w14:textId="77777777" w:rsidR="004374DA" w:rsidRDefault="004374DA">
      <w:r>
        <w:continuationSeparator/>
      </w:r>
    </w:p>
  </w:endnote>
  <w:endnote w:type="continuationNotice" w:id="1">
    <w:p w14:paraId="7523E44D" w14:textId="77777777" w:rsidR="004374DA" w:rsidRDefault="004374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B74882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E567D">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D047DE" w:rsidRPr="00D047DE">
      <w:rPr>
        <w:rFonts w:cs="Arial"/>
        <w:noProof/>
        <w:sz w:val="16"/>
        <w:szCs w:val="16"/>
        <w:lang w:val="pt-PT"/>
      </w:rPr>
      <w:t>deferasirox-Exjade-Jadenu</w:t>
    </w:r>
    <w:r w:rsidR="00D047DE">
      <w:rPr>
        <w:rFonts w:cs="Arial"/>
        <w:noProof/>
        <w:snapToGrid w:val="0"/>
        <w:color w:val="000000"/>
        <w:sz w:val="16"/>
        <w:szCs w:val="16"/>
        <w:lang w:val="pt-PT"/>
      </w:rPr>
      <w:t xml:space="preserve"> SGM 1622-A </w:t>
    </w:r>
    <w:r w:rsidR="00D047DE" w:rsidRPr="00D047DE">
      <w:rPr>
        <w:rFonts w:cs="Arial"/>
        <w:noProof/>
        <w:sz w:val="16"/>
        <w:szCs w:val="16"/>
        <w:lang w:val="pt-PT"/>
      </w:rPr>
      <w:t>P2024a.docx</w:t>
    </w:r>
    <w:r w:rsidRPr="00EC47B6">
      <w:rPr>
        <w:rFonts w:cs="Arial"/>
        <w:noProof/>
        <w:sz w:val="16"/>
        <w:szCs w:val="16"/>
      </w:rPr>
      <w:fldChar w:fldCharType="end"/>
    </w:r>
    <w:r w:rsidRPr="008E567D">
      <w:rPr>
        <w:rFonts w:cs="Arial"/>
        <w:snapToGrid w:val="0"/>
        <w:color w:val="000000"/>
        <w:sz w:val="16"/>
        <w:lang w:val="pt-PT"/>
      </w:rPr>
      <w:tab/>
      <w:t>© 202</w:t>
    </w:r>
    <w:r w:rsidR="008B6DBE" w:rsidRPr="008E567D">
      <w:rPr>
        <w:rFonts w:cs="Arial"/>
        <w:snapToGrid w:val="0"/>
        <w:color w:val="000000"/>
        <w:sz w:val="16"/>
        <w:lang w:val="pt-PT"/>
      </w:rPr>
      <w:t>4</w:t>
    </w:r>
    <w:r w:rsidRPr="008E567D">
      <w:rPr>
        <w:rFonts w:cs="Arial"/>
        <w:snapToGrid w:val="0"/>
        <w:color w:val="000000"/>
        <w:sz w:val="16"/>
        <w:lang w:val="pt-PT"/>
      </w:rPr>
      <w:t xml:space="preserve"> CVS Caremark. </w:t>
    </w:r>
    <w:r w:rsidRPr="00EC47B6">
      <w:rPr>
        <w:rFonts w:cs="Arial"/>
        <w:snapToGrid w:val="0"/>
        <w:color w:val="000000"/>
        <w:sz w:val="16"/>
      </w:rPr>
      <w:t>All rights reserved.</w:t>
    </w:r>
  </w:p>
  <w:p w14:paraId="61CF5924" w14:textId="374F50F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AFC187C" w:rsidR="00F75C81" w:rsidRPr="00AA1E6A" w:rsidRDefault="00C36B72" w:rsidP="0007046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0B4C7A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E567D">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D047DE" w:rsidRPr="00D047DE">
      <w:rPr>
        <w:rFonts w:cs="Arial"/>
        <w:noProof/>
        <w:sz w:val="16"/>
        <w:szCs w:val="16"/>
        <w:lang w:val="pt-PT"/>
      </w:rPr>
      <w:t>deferasirox-Exjade-Jadenu</w:t>
    </w:r>
    <w:r w:rsidR="00D047DE">
      <w:rPr>
        <w:rFonts w:cs="Arial"/>
        <w:noProof/>
        <w:snapToGrid w:val="0"/>
        <w:color w:val="000000"/>
        <w:sz w:val="16"/>
        <w:szCs w:val="16"/>
        <w:lang w:val="pt-PT"/>
      </w:rPr>
      <w:t xml:space="preserve"> SGM 1622-A </w:t>
    </w:r>
    <w:r w:rsidR="00D047DE" w:rsidRPr="00D047DE">
      <w:rPr>
        <w:rFonts w:cs="Arial"/>
        <w:noProof/>
        <w:sz w:val="16"/>
        <w:szCs w:val="16"/>
        <w:lang w:val="pt-PT"/>
      </w:rPr>
      <w:t>P2024a.docx</w:t>
    </w:r>
    <w:r w:rsidRPr="00EC47B6">
      <w:rPr>
        <w:rFonts w:cs="Arial"/>
        <w:noProof/>
        <w:sz w:val="16"/>
        <w:szCs w:val="16"/>
      </w:rPr>
      <w:fldChar w:fldCharType="end"/>
    </w:r>
    <w:r w:rsidRPr="008E567D">
      <w:rPr>
        <w:rFonts w:cs="Arial"/>
        <w:snapToGrid w:val="0"/>
        <w:color w:val="000000"/>
        <w:sz w:val="16"/>
        <w:lang w:val="pt-PT"/>
      </w:rPr>
      <w:tab/>
      <w:t>© 202</w:t>
    </w:r>
    <w:r w:rsidR="00D74279" w:rsidRPr="008E567D">
      <w:rPr>
        <w:rFonts w:cs="Arial"/>
        <w:snapToGrid w:val="0"/>
        <w:color w:val="000000"/>
        <w:sz w:val="16"/>
        <w:lang w:val="pt-PT"/>
      </w:rPr>
      <w:t>4</w:t>
    </w:r>
    <w:r w:rsidRPr="008E567D">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78E1B65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9A790E9" w:rsidR="00ED04EC" w:rsidRPr="00F50D98" w:rsidRDefault="00F50D98" w:rsidP="0007046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1CCA9" w14:textId="68B6A955" w:rsidR="000B7673" w:rsidRPr="00F50D98" w:rsidRDefault="000B767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7D33F" w14:textId="77777777" w:rsidR="004374DA" w:rsidRDefault="004374DA">
      <w:r>
        <w:separator/>
      </w:r>
    </w:p>
  </w:footnote>
  <w:footnote w:type="continuationSeparator" w:id="0">
    <w:p w14:paraId="509FE1EF" w14:textId="77777777" w:rsidR="004374DA" w:rsidRDefault="004374DA">
      <w:r>
        <w:continuationSeparator/>
      </w:r>
    </w:p>
  </w:footnote>
  <w:footnote w:type="continuationNotice" w:id="1">
    <w:p w14:paraId="6E5DCC44" w14:textId="77777777" w:rsidR="004374DA" w:rsidRDefault="004374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54FD7" w:rsidRDefault="00ED04EC" w:rsidP="00ED04EC">
          <w:pPr>
            <w:pStyle w:val="Header"/>
            <w:rPr>
              <w:rFonts w:cs="Arial"/>
              <w:sz w:val="16"/>
              <w:szCs w:val="16"/>
            </w:rPr>
          </w:pPr>
          <w:r w:rsidRPr="00B54FD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B04F858" w:rsidR="00ED04EC" w:rsidRPr="00B54FD7" w:rsidRDefault="000B7673" w:rsidP="00ED04EC">
          <w:pPr>
            <w:pStyle w:val="Header"/>
            <w:rPr>
              <w:rFonts w:cs="Arial"/>
              <w:sz w:val="16"/>
              <w:szCs w:val="16"/>
            </w:rPr>
          </w:pPr>
          <w:r w:rsidRPr="00B54FD7">
            <w:rPr>
              <w:rFonts w:cs="Arial"/>
              <w:sz w:val="16"/>
              <w:szCs w:val="16"/>
            </w:rPr>
            <w:t>1622-A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B7673" w:rsidRPr="00ED04EC" w14:paraId="24D6EF9D" w14:textId="77777777">
      <w:trPr>
        <w:trHeight w:val="144"/>
        <w:jc w:val="right"/>
      </w:trPr>
      <w:tc>
        <w:tcPr>
          <w:tcW w:w="1854" w:type="dxa"/>
          <w:hideMark/>
        </w:tcPr>
        <w:p w14:paraId="4FE87B81" w14:textId="77777777" w:rsidR="000B7673" w:rsidRPr="00AA1E6A" w:rsidRDefault="000B7673" w:rsidP="000B7673">
          <w:pPr>
            <w:pStyle w:val="Header"/>
            <w:rPr>
              <w:rFonts w:ascii="Arial" w:hAnsi="Arial" w:cs="Arial"/>
              <w:sz w:val="16"/>
              <w:szCs w:val="16"/>
            </w:rPr>
          </w:pPr>
          <w:r w:rsidRPr="00AA1E6A">
            <w:rPr>
              <w:rFonts w:ascii="Arial" w:hAnsi="Arial" w:cs="Arial"/>
              <w:sz w:val="16"/>
              <w:szCs w:val="16"/>
            </w:rPr>
            <w:t>Reference number(s)</w:t>
          </w:r>
        </w:p>
      </w:tc>
    </w:tr>
    <w:tr w:rsidR="000B7673" w:rsidRPr="00ED04EC" w14:paraId="453F5F12" w14:textId="77777777">
      <w:trPr>
        <w:trHeight w:val="378"/>
        <w:jc w:val="right"/>
      </w:trPr>
      <w:tc>
        <w:tcPr>
          <w:tcW w:w="1854" w:type="dxa"/>
          <w:hideMark/>
        </w:tcPr>
        <w:p w14:paraId="64B31527" w14:textId="6550A7F6" w:rsidR="000B7673" w:rsidRPr="004C7F1D" w:rsidRDefault="00BF39E5" w:rsidP="000B7673">
          <w:pPr>
            <w:pStyle w:val="Header"/>
            <w:rPr>
              <w:rFonts w:ascii="Arial" w:hAnsi="Arial" w:cs="Arial"/>
              <w:sz w:val="16"/>
              <w:szCs w:val="16"/>
            </w:rPr>
          </w:pPr>
          <w:r w:rsidRPr="00BF39E5">
            <w:rPr>
              <w:rFonts w:ascii="Arial" w:hAnsi="Arial" w:cs="Arial"/>
              <w:sz w:val="16"/>
              <w:szCs w:val="16"/>
            </w:rPr>
            <w:t>1622-A</w:t>
          </w:r>
        </w:p>
      </w:tc>
    </w:tr>
  </w:tbl>
  <w:p w14:paraId="2B2F1094" w14:textId="77777777" w:rsidR="000B7673" w:rsidRPr="00AA1E6A" w:rsidRDefault="000B7673" w:rsidP="000B767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3E14F4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8D604B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3441E3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AB796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752FC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8"/>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9"/>
  </w:num>
  <w:num w:numId="17" w16cid:durableId="2128498676">
    <w:abstractNumId w:val="30"/>
  </w:num>
  <w:num w:numId="18" w16cid:durableId="299724409">
    <w:abstractNumId w:val="24"/>
  </w:num>
  <w:num w:numId="19" w16cid:durableId="214585573">
    <w:abstractNumId w:val="15"/>
  </w:num>
  <w:num w:numId="20" w16cid:durableId="1289816170">
    <w:abstractNumId w:val="16"/>
  </w:num>
  <w:num w:numId="21" w16cid:durableId="1066490929">
    <w:abstractNumId w:val="31"/>
  </w:num>
  <w:num w:numId="22" w16cid:durableId="1472481103">
    <w:abstractNumId w:val="27"/>
  </w:num>
  <w:num w:numId="23" w16cid:durableId="1997420403">
    <w:abstractNumId w:val="29"/>
  </w:num>
  <w:num w:numId="24" w16cid:durableId="33312838">
    <w:abstractNumId w:val="26"/>
  </w:num>
  <w:num w:numId="25" w16cid:durableId="507404939">
    <w:abstractNumId w:val="18"/>
  </w:num>
  <w:num w:numId="26" w16cid:durableId="1950313333">
    <w:abstractNumId w:val="21"/>
  </w:num>
  <w:num w:numId="27" w16cid:durableId="1866016584">
    <w:abstractNumId w:val="20"/>
  </w:num>
  <w:num w:numId="28" w16cid:durableId="1383946069">
    <w:abstractNumId w:val="13"/>
  </w:num>
  <w:num w:numId="29" w16cid:durableId="1263999787">
    <w:abstractNumId w:val="14"/>
  </w:num>
  <w:num w:numId="30" w16cid:durableId="503710598">
    <w:abstractNumId w:val="23"/>
  </w:num>
  <w:num w:numId="31" w16cid:durableId="318927794">
    <w:abstractNumId w:val="17"/>
  </w:num>
  <w:num w:numId="32" w16cid:durableId="943271321">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5D0C"/>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79A"/>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1C77"/>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46A"/>
    <w:rsid w:val="00070758"/>
    <w:rsid w:val="00070C48"/>
    <w:rsid w:val="000717F6"/>
    <w:rsid w:val="00071A7F"/>
    <w:rsid w:val="0007286F"/>
    <w:rsid w:val="000744CC"/>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4579"/>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673"/>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0B3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02F"/>
    <w:rsid w:val="000E7263"/>
    <w:rsid w:val="000E7B01"/>
    <w:rsid w:val="000E7C60"/>
    <w:rsid w:val="000F0204"/>
    <w:rsid w:val="000F0AC9"/>
    <w:rsid w:val="000F1039"/>
    <w:rsid w:val="000F1FBC"/>
    <w:rsid w:val="000F2A45"/>
    <w:rsid w:val="000F2A91"/>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17E04"/>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F7C"/>
    <w:rsid w:val="0014405C"/>
    <w:rsid w:val="0014413C"/>
    <w:rsid w:val="00144795"/>
    <w:rsid w:val="001448D4"/>
    <w:rsid w:val="00144B23"/>
    <w:rsid w:val="00144BEB"/>
    <w:rsid w:val="00145A96"/>
    <w:rsid w:val="00146C1A"/>
    <w:rsid w:val="001508F4"/>
    <w:rsid w:val="00150AFC"/>
    <w:rsid w:val="00151A0F"/>
    <w:rsid w:val="00151DA8"/>
    <w:rsid w:val="00152135"/>
    <w:rsid w:val="00153164"/>
    <w:rsid w:val="00154752"/>
    <w:rsid w:val="00154B0F"/>
    <w:rsid w:val="00154E30"/>
    <w:rsid w:val="00154E4F"/>
    <w:rsid w:val="00155A51"/>
    <w:rsid w:val="001560C4"/>
    <w:rsid w:val="00156A50"/>
    <w:rsid w:val="00156B77"/>
    <w:rsid w:val="00156E31"/>
    <w:rsid w:val="00160472"/>
    <w:rsid w:val="001617E2"/>
    <w:rsid w:val="00162951"/>
    <w:rsid w:val="001630B4"/>
    <w:rsid w:val="00165258"/>
    <w:rsid w:val="00165670"/>
    <w:rsid w:val="00165A99"/>
    <w:rsid w:val="001675AA"/>
    <w:rsid w:val="00170325"/>
    <w:rsid w:val="00173AB9"/>
    <w:rsid w:val="0017442F"/>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3C9"/>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441"/>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4F9"/>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C09"/>
    <w:rsid w:val="002A0DB7"/>
    <w:rsid w:val="002A0F12"/>
    <w:rsid w:val="002A1602"/>
    <w:rsid w:val="002A1A1C"/>
    <w:rsid w:val="002A245D"/>
    <w:rsid w:val="002A3CC2"/>
    <w:rsid w:val="002A4693"/>
    <w:rsid w:val="002A529C"/>
    <w:rsid w:val="002A58FA"/>
    <w:rsid w:val="002A69B8"/>
    <w:rsid w:val="002A6B25"/>
    <w:rsid w:val="002A6B4B"/>
    <w:rsid w:val="002A6CA0"/>
    <w:rsid w:val="002A6F8F"/>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5E11"/>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2BC"/>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4FFA"/>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D75"/>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4AF"/>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BED"/>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824"/>
    <w:rsid w:val="003F7A17"/>
    <w:rsid w:val="0040139B"/>
    <w:rsid w:val="00401820"/>
    <w:rsid w:val="00401919"/>
    <w:rsid w:val="00402C8F"/>
    <w:rsid w:val="00402FED"/>
    <w:rsid w:val="00403087"/>
    <w:rsid w:val="004032A5"/>
    <w:rsid w:val="004049CE"/>
    <w:rsid w:val="0040594C"/>
    <w:rsid w:val="00405C5D"/>
    <w:rsid w:val="00407C38"/>
    <w:rsid w:val="0041023B"/>
    <w:rsid w:val="0041061B"/>
    <w:rsid w:val="00411195"/>
    <w:rsid w:val="00411413"/>
    <w:rsid w:val="00411477"/>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2958"/>
    <w:rsid w:val="00422E71"/>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5DD0"/>
    <w:rsid w:val="004374DA"/>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184"/>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63B"/>
    <w:rsid w:val="00460F4A"/>
    <w:rsid w:val="00460F61"/>
    <w:rsid w:val="0046197A"/>
    <w:rsid w:val="00461A9E"/>
    <w:rsid w:val="0046213B"/>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4F85"/>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E01"/>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464"/>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2F6"/>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905"/>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0A05"/>
    <w:rsid w:val="005C194C"/>
    <w:rsid w:val="005C2667"/>
    <w:rsid w:val="005C295A"/>
    <w:rsid w:val="005C2C21"/>
    <w:rsid w:val="005C3B4F"/>
    <w:rsid w:val="005C42CF"/>
    <w:rsid w:val="005C44D1"/>
    <w:rsid w:val="005C4C99"/>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0F9"/>
    <w:rsid w:val="005E0BD2"/>
    <w:rsid w:val="005E1266"/>
    <w:rsid w:val="005E3C25"/>
    <w:rsid w:val="005E4938"/>
    <w:rsid w:val="005E5674"/>
    <w:rsid w:val="005E5743"/>
    <w:rsid w:val="005E5A43"/>
    <w:rsid w:val="005E5EF1"/>
    <w:rsid w:val="005E6A1A"/>
    <w:rsid w:val="005E7BAB"/>
    <w:rsid w:val="005F0A5B"/>
    <w:rsid w:val="005F10FC"/>
    <w:rsid w:val="005F1A16"/>
    <w:rsid w:val="005F2E73"/>
    <w:rsid w:val="005F3979"/>
    <w:rsid w:val="005F3DBD"/>
    <w:rsid w:val="005F4CD7"/>
    <w:rsid w:val="005F4E29"/>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2C5"/>
    <w:rsid w:val="00613278"/>
    <w:rsid w:val="006138E0"/>
    <w:rsid w:val="00613BFA"/>
    <w:rsid w:val="00614799"/>
    <w:rsid w:val="00615D0E"/>
    <w:rsid w:val="0061673E"/>
    <w:rsid w:val="00616F35"/>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5C22"/>
    <w:rsid w:val="00636D27"/>
    <w:rsid w:val="0063736B"/>
    <w:rsid w:val="006374D1"/>
    <w:rsid w:val="00637D18"/>
    <w:rsid w:val="0064175A"/>
    <w:rsid w:val="00642734"/>
    <w:rsid w:val="00642971"/>
    <w:rsid w:val="00642BEF"/>
    <w:rsid w:val="006434FA"/>
    <w:rsid w:val="00643A06"/>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634D"/>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97E85"/>
    <w:rsid w:val="006A1D42"/>
    <w:rsid w:val="006A29D6"/>
    <w:rsid w:val="006A2EC3"/>
    <w:rsid w:val="006A37C9"/>
    <w:rsid w:val="006A3CFD"/>
    <w:rsid w:val="006A3F40"/>
    <w:rsid w:val="006A5A46"/>
    <w:rsid w:val="006A790B"/>
    <w:rsid w:val="006A7AA0"/>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4D3"/>
    <w:rsid w:val="006D0FA8"/>
    <w:rsid w:val="006D1263"/>
    <w:rsid w:val="006D171C"/>
    <w:rsid w:val="006D21AA"/>
    <w:rsid w:val="006D23BA"/>
    <w:rsid w:val="006D24CA"/>
    <w:rsid w:val="006D2A42"/>
    <w:rsid w:val="006D30F6"/>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710"/>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469D"/>
    <w:rsid w:val="00725714"/>
    <w:rsid w:val="0072615B"/>
    <w:rsid w:val="007267CF"/>
    <w:rsid w:val="00727843"/>
    <w:rsid w:val="0073079A"/>
    <w:rsid w:val="00731FCA"/>
    <w:rsid w:val="007325C8"/>
    <w:rsid w:val="00732B93"/>
    <w:rsid w:val="0073324D"/>
    <w:rsid w:val="0073362E"/>
    <w:rsid w:val="00735381"/>
    <w:rsid w:val="007363FE"/>
    <w:rsid w:val="00736D6F"/>
    <w:rsid w:val="00737322"/>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94"/>
    <w:rsid w:val="007939D1"/>
    <w:rsid w:val="00793AEA"/>
    <w:rsid w:val="007944F5"/>
    <w:rsid w:val="007947EE"/>
    <w:rsid w:val="00794B80"/>
    <w:rsid w:val="00795343"/>
    <w:rsid w:val="00795B5C"/>
    <w:rsid w:val="00796193"/>
    <w:rsid w:val="007963DF"/>
    <w:rsid w:val="00796772"/>
    <w:rsid w:val="007967A5"/>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1C2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68B9"/>
    <w:rsid w:val="007E7B46"/>
    <w:rsid w:val="007F02C3"/>
    <w:rsid w:val="007F11E6"/>
    <w:rsid w:val="007F20FF"/>
    <w:rsid w:val="007F2388"/>
    <w:rsid w:val="007F2641"/>
    <w:rsid w:val="007F280C"/>
    <w:rsid w:val="007F2FAC"/>
    <w:rsid w:val="007F349F"/>
    <w:rsid w:val="007F475E"/>
    <w:rsid w:val="007F4876"/>
    <w:rsid w:val="007F5BA5"/>
    <w:rsid w:val="007F6891"/>
    <w:rsid w:val="007F755D"/>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54FB"/>
    <w:rsid w:val="00825784"/>
    <w:rsid w:val="00826FDC"/>
    <w:rsid w:val="008308BE"/>
    <w:rsid w:val="00830CE5"/>
    <w:rsid w:val="008313C2"/>
    <w:rsid w:val="00832520"/>
    <w:rsid w:val="00832E80"/>
    <w:rsid w:val="00832EB5"/>
    <w:rsid w:val="00832F22"/>
    <w:rsid w:val="00834BD1"/>
    <w:rsid w:val="008355E3"/>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4B13"/>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1C7E"/>
    <w:rsid w:val="008820AF"/>
    <w:rsid w:val="008828CA"/>
    <w:rsid w:val="00882AD4"/>
    <w:rsid w:val="00882C00"/>
    <w:rsid w:val="00882E5B"/>
    <w:rsid w:val="00882EAF"/>
    <w:rsid w:val="00883E6B"/>
    <w:rsid w:val="00885021"/>
    <w:rsid w:val="00885294"/>
    <w:rsid w:val="008853F8"/>
    <w:rsid w:val="00885EAA"/>
    <w:rsid w:val="00886C30"/>
    <w:rsid w:val="00886F70"/>
    <w:rsid w:val="00887099"/>
    <w:rsid w:val="008870EA"/>
    <w:rsid w:val="00887663"/>
    <w:rsid w:val="00887E71"/>
    <w:rsid w:val="00890CE6"/>
    <w:rsid w:val="00890F40"/>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3C2"/>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46B0"/>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67D"/>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4DB3"/>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2B5"/>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5BFB"/>
    <w:rsid w:val="0092652E"/>
    <w:rsid w:val="00926589"/>
    <w:rsid w:val="0092691D"/>
    <w:rsid w:val="00927612"/>
    <w:rsid w:val="00927737"/>
    <w:rsid w:val="009305D4"/>
    <w:rsid w:val="00930F9F"/>
    <w:rsid w:val="00930FF5"/>
    <w:rsid w:val="00931D1D"/>
    <w:rsid w:val="00931D32"/>
    <w:rsid w:val="00931FCB"/>
    <w:rsid w:val="009323E1"/>
    <w:rsid w:val="009324A8"/>
    <w:rsid w:val="00932532"/>
    <w:rsid w:val="00933E6D"/>
    <w:rsid w:val="00934A46"/>
    <w:rsid w:val="00935BC3"/>
    <w:rsid w:val="00936408"/>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982"/>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B66"/>
    <w:rsid w:val="009A3D32"/>
    <w:rsid w:val="009A3DE5"/>
    <w:rsid w:val="009A53DE"/>
    <w:rsid w:val="009A5649"/>
    <w:rsid w:val="009A6D30"/>
    <w:rsid w:val="009A78A9"/>
    <w:rsid w:val="009B0854"/>
    <w:rsid w:val="009B0ADA"/>
    <w:rsid w:val="009B0F2B"/>
    <w:rsid w:val="009B1482"/>
    <w:rsid w:val="009B1B86"/>
    <w:rsid w:val="009B35DC"/>
    <w:rsid w:val="009B3740"/>
    <w:rsid w:val="009B4CE9"/>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5F18"/>
    <w:rsid w:val="009D60F4"/>
    <w:rsid w:val="009D6686"/>
    <w:rsid w:val="009D6C0F"/>
    <w:rsid w:val="009D6D3D"/>
    <w:rsid w:val="009D7037"/>
    <w:rsid w:val="009D71AB"/>
    <w:rsid w:val="009D72AF"/>
    <w:rsid w:val="009D7595"/>
    <w:rsid w:val="009D7679"/>
    <w:rsid w:val="009D7C0C"/>
    <w:rsid w:val="009D7E5A"/>
    <w:rsid w:val="009D7F0B"/>
    <w:rsid w:val="009E1F57"/>
    <w:rsid w:val="009E20EB"/>
    <w:rsid w:val="009E489A"/>
    <w:rsid w:val="009E4EB9"/>
    <w:rsid w:val="009E5212"/>
    <w:rsid w:val="009E6C19"/>
    <w:rsid w:val="009E6E2F"/>
    <w:rsid w:val="009E72FE"/>
    <w:rsid w:val="009E7B60"/>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B"/>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26F"/>
    <w:rsid w:val="00A326BC"/>
    <w:rsid w:val="00A32801"/>
    <w:rsid w:val="00A32DF4"/>
    <w:rsid w:val="00A33A01"/>
    <w:rsid w:val="00A33BC1"/>
    <w:rsid w:val="00A33C4B"/>
    <w:rsid w:val="00A33F92"/>
    <w:rsid w:val="00A342EB"/>
    <w:rsid w:val="00A358F0"/>
    <w:rsid w:val="00A35CD1"/>
    <w:rsid w:val="00A36422"/>
    <w:rsid w:val="00A36474"/>
    <w:rsid w:val="00A37D22"/>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69E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2F2C"/>
    <w:rsid w:val="00A93B35"/>
    <w:rsid w:val="00A94105"/>
    <w:rsid w:val="00A946C6"/>
    <w:rsid w:val="00A94A0D"/>
    <w:rsid w:val="00A9526B"/>
    <w:rsid w:val="00A96221"/>
    <w:rsid w:val="00A96256"/>
    <w:rsid w:val="00A968D2"/>
    <w:rsid w:val="00A96A09"/>
    <w:rsid w:val="00A96E60"/>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08F"/>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6A32"/>
    <w:rsid w:val="00B17072"/>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60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4FD7"/>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E30"/>
    <w:rsid w:val="00B81FE6"/>
    <w:rsid w:val="00B8206A"/>
    <w:rsid w:val="00B827C8"/>
    <w:rsid w:val="00B82F4A"/>
    <w:rsid w:val="00B83047"/>
    <w:rsid w:val="00B834A4"/>
    <w:rsid w:val="00B836B0"/>
    <w:rsid w:val="00B83C79"/>
    <w:rsid w:val="00B84072"/>
    <w:rsid w:val="00B84926"/>
    <w:rsid w:val="00B84F18"/>
    <w:rsid w:val="00B853B4"/>
    <w:rsid w:val="00B85C37"/>
    <w:rsid w:val="00B85D7B"/>
    <w:rsid w:val="00B860C8"/>
    <w:rsid w:val="00B86B9B"/>
    <w:rsid w:val="00B8792F"/>
    <w:rsid w:val="00B90A76"/>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0E2E"/>
    <w:rsid w:val="00BB2668"/>
    <w:rsid w:val="00BB3275"/>
    <w:rsid w:val="00BB32ED"/>
    <w:rsid w:val="00BB3604"/>
    <w:rsid w:val="00BB379D"/>
    <w:rsid w:val="00BB3F6D"/>
    <w:rsid w:val="00BB4131"/>
    <w:rsid w:val="00BB5B7E"/>
    <w:rsid w:val="00BB6239"/>
    <w:rsid w:val="00BB6FE9"/>
    <w:rsid w:val="00BC02EF"/>
    <w:rsid w:val="00BC2111"/>
    <w:rsid w:val="00BC270F"/>
    <w:rsid w:val="00BC2848"/>
    <w:rsid w:val="00BC3272"/>
    <w:rsid w:val="00BC3508"/>
    <w:rsid w:val="00BC3CA7"/>
    <w:rsid w:val="00BC3F0E"/>
    <w:rsid w:val="00BC3F14"/>
    <w:rsid w:val="00BC47DC"/>
    <w:rsid w:val="00BC51D6"/>
    <w:rsid w:val="00BC51E9"/>
    <w:rsid w:val="00BC62C0"/>
    <w:rsid w:val="00BC633A"/>
    <w:rsid w:val="00BC6777"/>
    <w:rsid w:val="00BC67F7"/>
    <w:rsid w:val="00BC68AA"/>
    <w:rsid w:val="00BC6B4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33E"/>
    <w:rsid w:val="00BE5586"/>
    <w:rsid w:val="00BE5599"/>
    <w:rsid w:val="00BE55E6"/>
    <w:rsid w:val="00BE725B"/>
    <w:rsid w:val="00BE7721"/>
    <w:rsid w:val="00BF094D"/>
    <w:rsid w:val="00BF0CB2"/>
    <w:rsid w:val="00BF1BF2"/>
    <w:rsid w:val="00BF1D36"/>
    <w:rsid w:val="00BF2436"/>
    <w:rsid w:val="00BF35E3"/>
    <w:rsid w:val="00BF3789"/>
    <w:rsid w:val="00BF39E5"/>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BC5"/>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720"/>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B83"/>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286"/>
    <w:rsid w:val="00C52389"/>
    <w:rsid w:val="00C53013"/>
    <w:rsid w:val="00C53D02"/>
    <w:rsid w:val="00C53E48"/>
    <w:rsid w:val="00C54C13"/>
    <w:rsid w:val="00C54D4A"/>
    <w:rsid w:val="00C54DF5"/>
    <w:rsid w:val="00C54E36"/>
    <w:rsid w:val="00C54E64"/>
    <w:rsid w:val="00C552DA"/>
    <w:rsid w:val="00C55C44"/>
    <w:rsid w:val="00C55C7E"/>
    <w:rsid w:val="00C57354"/>
    <w:rsid w:val="00C600E7"/>
    <w:rsid w:val="00C60692"/>
    <w:rsid w:val="00C60873"/>
    <w:rsid w:val="00C60AD4"/>
    <w:rsid w:val="00C6155D"/>
    <w:rsid w:val="00C6177C"/>
    <w:rsid w:val="00C617ED"/>
    <w:rsid w:val="00C61827"/>
    <w:rsid w:val="00C61CAE"/>
    <w:rsid w:val="00C61D2A"/>
    <w:rsid w:val="00C62523"/>
    <w:rsid w:val="00C6319D"/>
    <w:rsid w:val="00C631C5"/>
    <w:rsid w:val="00C6390D"/>
    <w:rsid w:val="00C64534"/>
    <w:rsid w:val="00C64859"/>
    <w:rsid w:val="00C65465"/>
    <w:rsid w:val="00C65502"/>
    <w:rsid w:val="00C675EB"/>
    <w:rsid w:val="00C676EA"/>
    <w:rsid w:val="00C700FE"/>
    <w:rsid w:val="00C70B3E"/>
    <w:rsid w:val="00C72424"/>
    <w:rsid w:val="00C73E8B"/>
    <w:rsid w:val="00C74CD4"/>
    <w:rsid w:val="00C74F5C"/>
    <w:rsid w:val="00C75C02"/>
    <w:rsid w:val="00C76BFE"/>
    <w:rsid w:val="00C77681"/>
    <w:rsid w:val="00C77D90"/>
    <w:rsid w:val="00C77EDB"/>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0D6"/>
    <w:rsid w:val="00CA1308"/>
    <w:rsid w:val="00CA1531"/>
    <w:rsid w:val="00CA156C"/>
    <w:rsid w:val="00CA1C61"/>
    <w:rsid w:val="00CA1FC9"/>
    <w:rsid w:val="00CA22D7"/>
    <w:rsid w:val="00CA273C"/>
    <w:rsid w:val="00CA2D53"/>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5F81"/>
    <w:rsid w:val="00CF634A"/>
    <w:rsid w:val="00CF7282"/>
    <w:rsid w:val="00CF7853"/>
    <w:rsid w:val="00D009CC"/>
    <w:rsid w:val="00D015E2"/>
    <w:rsid w:val="00D01DB8"/>
    <w:rsid w:val="00D0248C"/>
    <w:rsid w:val="00D024A9"/>
    <w:rsid w:val="00D026FC"/>
    <w:rsid w:val="00D033D0"/>
    <w:rsid w:val="00D0352D"/>
    <w:rsid w:val="00D04030"/>
    <w:rsid w:val="00D04349"/>
    <w:rsid w:val="00D047DE"/>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5DF9"/>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9C9"/>
    <w:rsid w:val="00D75C30"/>
    <w:rsid w:val="00D76337"/>
    <w:rsid w:val="00D76468"/>
    <w:rsid w:val="00D7782A"/>
    <w:rsid w:val="00D80281"/>
    <w:rsid w:val="00D80824"/>
    <w:rsid w:val="00D808F4"/>
    <w:rsid w:val="00D80973"/>
    <w:rsid w:val="00D80D19"/>
    <w:rsid w:val="00D8125F"/>
    <w:rsid w:val="00D8139F"/>
    <w:rsid w:val="00D8170A"/>
    <w:rsid w:val="00D81BA8"/>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285"/>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B38"/>
    <w:rsid w:val="00DB0090"/>
    <w:rsid w:val="00DB057E"/>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389C"/>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8D0"/>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4EE4"/>
    <w:rsid w:val="00E050E1"/>
    <w:rsid w:val="00E057C3"/>
    <w:rsid w:val="00E057F8"/>
    <w:rsid w:val="00E06458"/>
    <w:rsid w:val="00E074AC"/>
    <w:rsid w:val="00E07603"/>
    <w:rsid w:val="00E07CE0"/>
    <w:rsid w:val="00E10293"/>
    <w:rsid w:val="00E11427"/>
    <w:rsid w:val="00E1169A"/>
    <w:rsid w:val="00E12598"/>
    <w:rsid w:val="00E13FD8"/>
    <w:rsid w:val="00E149E5"/>
    <w:rsid w:val="00E1542D"/>
    <w:rsid w:val="00E159FD"/>
    <w:rsid w:val="00E15C9D"/>
    <w:rsid w:val="00E15EC4"/>
    <w:rsid w:val="00E165CF"/>
    <w:rsid w:val="00E166ED"/>
    <w:rsid w:val="00E1699F"/>
    <w:rsid w:val="00E20E34"/>
    <w:rsid w:val="00E212B1"/>
    <w:rsid w:val="00E21380"/>
    <w:rsid w:val="00E21D06"/>
    <w:rsid w:val="00E21E0B"/>
    <w:rsid w:val="00E23842"/>
    <w:rsid w:val="00E24B03"/>
    <w:rsid w:val="00E25668"/>
    <w:rsid w:val="00E25EA1"/>
    <w:rsid w:val="00E25FBE"/>
    <w:rsid w:val="00E26712"/>
    <w:rsid w:val="00E2682A"/>
    <w:rsid w:val="00E26EE9"/>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272D"/>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43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3E4"/>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B775D"/>
    <w:rsid w:val="00EB7E5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2942"/>
    <w:rsid w:val="00F043C9"/>
    <w:rsid w:val="00F04C2E"/>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272BB"/>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BBC"/>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1F27"/>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B566AF5A-979D-427B-9D5D-256812511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B7673"/>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0780621">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80595408">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73410826">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51069885">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45161696">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978346125">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6290969">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60125128">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0F1D0E78-DC1A-48EC-B0A1-A7CEE49CCF64}"/>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864</Words>
  <Characters>5396</Characters>
  <Application>Microsoft Office Word</Application>
  <DocSecurity>0</DocSecurity>
  <Lines>105</Lines>
  <Paragraphs>71</Paragraphs>
  <ScaleCrop>false</ScaleCrop>
  <HeadingPairs>
    <vt:vector size="2" baseType="variant">
      <vt:variant>
        <vt:lpstr>Title</vt:lpstr>
      </vt:variant>
      <vt:variant>
        <vt:i4>1</vt:i4>
      </vt:variant>
    </vt:vector>
  </HeadingPairs>
  <TitlesOfParts>
    <vt:vector size="1" baseType="lpstr">
      <vt:lpstr>deferasirox-Exjade-Jadenu 1622-A SGM 2024</vt:lpstr>
    </vt:vector>
  </TitlesOfParts>
  <Company>PCS Health Systems</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deferasirox-Exjade-Jadenu SGM 1622-A</dc:title>
  <dc:subject/>
  <dc:creator>CVS Caremark</dc:creator>
  <cp:keywords/>
  <cp:lastModifiedBy>Huerta, Linda M</cp:lastModifiedBy>
  <cp:revision>3</cp:revision>
  <cp:lastPrinted>2018-01-09T09:01:00Z</cp:lastPrinted>
  <dcterms:created xsi:type="dcterms:W3CDTF">2025-02-27T15:37:00Z</dcterms:created>
  <dcterms:modified xsi:type="dcterms:W3CDTF">2025-02-27T15:38:00Z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1336900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